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1" w:rsidRDefault="00394491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B51C22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4B3FD1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Луговской </w:t>
      </w:r>
      <w:r w:rsidR="0003541E"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D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B51C22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315FFB" w:rsidRDefault="00F00562" w:rsidP="000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315FFB" w:rsidRDefault="00F00562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5FFB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 № 44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</w:t>
      </w:r>
      <w:bookmarkStart w:id="0" w:name="_GoBack"/>
      <w:bookmarkEnd w:id="0"/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плана работы контрольно-счетной палаты</w:t>
      </w:r>
      <w:r w:rsidR="009E3D45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</w:t>
      </w:r>
      <w:r w:rsidR="00315FFB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на 2021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соглашение </w:t>
      </w:r>
      <w:r w:rsidR="009E3D45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4B3FD1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9E3D45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315FFB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5.11.2020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315FFB" w:rsidRDefault="00795486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B3FD1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25" w:rsidRPr="00315FFB" w:rsidRDefault="00F00562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FF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93428" w:rsidRPr="00315FFB" w:rsidRDefault="00F35E25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FF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315FF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31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315F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777E75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31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</w:t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 w:rsidR="004B3FD1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777E75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777E75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4B3FD1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315FFB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777E75" w:rsidRDefault="009F4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777E75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B3FD1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237586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777E75" w:rsidRDefault="009F4D45" w:rsidP="006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777E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77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EE7CB5" w:rsidRDefault="00237586" w:rsidP="000059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7E75"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</w:t>
      </w:r>
      <w:r w:rsidR="00693428"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CB5"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77E75"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</w:t>
      </w:r>
      <w:r w:rsidR="00693428" w:rsidRPr="00EE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B659DD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6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B659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B659DD" w:rsidRDefault="009E3D45" w:rsidP="006C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2E" w:rsidRPr="00B6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 Луговской.</w:t>
      </w:r>
    </w:p>
    <w:p w:rsidR="006C6B2E" w:rsidRPr="00D00712" w:rsidRDefault="006C6B2E" w:rsidP="006C6B2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00712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6C6B2E" w:rsidRPr="009A448D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6C6B2E" w:rsidRPr="006B78C0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отчета об исполнении местного бюджета, установленный статьей 11 </w:t>
      </w:r>
      <w:r w:rsidRPr="0028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Луговской от 2</w:t>
      </w:r>
      <w:r w:rsidR="00287AD0" w:rsidRPr="0028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Pr="0028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7.2015 № </w:t>
      </w:r>
      <w:r w:rsidR="00287AD0" w:rsidRPr="0028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</w:t>
      </w:r>
      <w:r w:rsidRPr="00287A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                         об отдельных вопросах организации и осуществления бюджетного процесса в сельском поселении Луговской» (далее – Положение</w:t>
      </w:r>
      <w:r w:rsidR="0015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8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</w:t>
      </w:r>
      <w:r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процессе) «не позднее 01 апреля текущего года», соблюден.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8C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00712">
        <w:rPr>
          <w:rFonts w:ascii="Times New Roman" w:hAnsi="Times New Roman" w:cs="Times New Roman"/>
          <w:sz w:val="28"/>
          <w:szCs w:val="28"/>
        </w:rPr>
        <w:t xml:space="preserve">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12">
        <w:rPr>
          <w:rFonts w:ascii="Times New Roman" w:hAnsi="Times New Roman" w:cs="Times New Roman"/>
          <w:i/>
          <w:sz w:val="28"/>
          <w:szCs w:val="28"/>
        </w:rPr>
        <w:t>Контрольно-счетная палата отмечает отсутствие  нормативного акта представительного органа сельского поселения Луговской                          о порядке представления, рассмотрения и утверждения годового отчета об исполнении бюджета.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12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D00712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D0071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D00712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12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12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12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D00712" w:rsidRDefault="006C6B2E" w:rsidP="006C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1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D0071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00712">
        <w:rPr>
          <w:rFonts w:ascii="Times New Roman" w:hAnsi="Times New Roman" w:cs="Times New Roman"/>
          <w:sz w:val="28"/>
          <w:szCs w:val="28"/>
        </w:rPr>
        <w:t>.</w:t>
      </w:r>
    </w:p>
    <w:p w:rsidR="006C6B2E" w:rsidRPr="00D00712" w:rsidRDefault="006C6B2E" w:rsidP="006C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712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C6B2E" w:rsidRDefault="006C6B2E" w:rsidP="006C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0712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что  </w:t>
      </w:r>
      <w:r w:rsidRPr="00D00712">
        <w:rPr>
          <w:rFonts w:ascii="Times New Roman" w:hAnsi="Times New Roman" w:cs="Times New Roman"/>
          <w:i/>
          <w:sz w:val="28"/>
          <w:szCs w:val="28"/>
        </w:rPr>
        <w:t>приложения к проекту решения Совета депутатов сельского поселения Луговской «Об утверждении отчета об исполнении бюджета сельского поселения Луговской за 2020 год»</w:t>
      </w:r>
      <w:r w:rsidR="00882227">
        <w:rPr>
          <w:rFonts w:ascii="Times New Roman" w:hAnsi="Times New Roman" w:cs="Times New Roman"/>
          <w:i/>
          <w:sz w:val="28"/>
          <w:szCs w:val="28"/>
        </w:rPr>
        <w:t xml:space="preserve"> (далее – проект решения об отчете </w:t>
      </w:r>
      <w:r w:rsidR="002A40D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882227">
        <w:rPr>
          <w:rFonts w:ascii="Times New Roman" w:hAnsi="Times New Roman" w:cs="Times New Roman"/>
          <w:i/>
          <w:sz w:val="28"/>
          <w:szCs w:val="28"/>
        </w:rPr>
        <w:t>за 2020 год)</w:t>
      </w:r>
      <w:r w:rsidRPr="00D007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00712" w:rsidRPr="00D00712">
        <w:rPr>
          <w:rFonts w:ascii="Times New Roman" w:hAnsi="Times New Roman" w:cs="Times New Roman"/>
          <w:bCs/>
          <w:i/>
          <w:sz w:val="28"/>
          <w:szCs w:val="28"/>
        </w:rPr>
        <w:t xml:space="preserve">не </w:t>
      </w:r>
      <w:r w:rsidRPr="00D00712">
        <w:rPr>
          <w:rFonts w:ascii="Times New Roman" w:hAnsi="Times New Roman" w:cs="Times New Roman"/>
          <w:i/>
          <w:sz w:val="28"/>
          <w:szCs w:val="28"/>
        </w:rPr>
        <w:t xml:space="preserve">соответствуют требованиям </w:t>
      </w:r>
      <w:r w:rsidRPr="00D00712">
        <w:rPr>
          <w:rFonts w:ascii="Times New Roman" w:hAnsi="Times New Roman" w:cs="Times New Roman"/>
          <w:bCs/>
          <w:i/>
          <w:sz w:val="28"/>
          <w:szCs w:val="28"/>
        </w:rPr>
        <w:t>статьи 264.6. Бюджетного кодекса РФ.</w:t>
      </w:r>
    </w:p>
    <w:p w:rsidR="00D00712" w:rsidRDefault="00D00712" w:rsidP="006C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К проекту</w:t>
      </w:r>
      <w:r w:rsidR="00882227" w:rsidRPr="0088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227">
        <w:rPr>
          <w:rFonts w:ascii="Times New Roman" w:hAnsi="Times New Roman" w:cs="Times New Roman"/>
          <w:i/>
          <w:sz w:val="28"/>
          <w:szCs w:val="28"/>
        </w:rPr>
        <w:t>решения об отчете за 2020 год</w:t>
      </w:r>
      <w:r w:rsidR="00882227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представлено восемь приложений, из них четыре не предусмотренные Бюджетным кодексом РФ: «Перечень муниципальных программ сельского поселения Луговской </w:t>
      </w:r>
      <w:r w:rsidR="002A40DC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882227">
        <w:rPr>
          <w:rFonts w:ascii="Times New Roman" w:hAnsi="Times New Roman" w:cs="Times New Roman"/>
          <w:bCs/>
          <w:i/>
          <w:sz w:val="28"/>
          <w:szCs w:val="28"/>
        </w:rPr>
        <w:t>на 2020 год», «Перечень ведомственных целевых программ сельского по</w:t>
      </w:r>
      <w:r w:rsidR="002A40DC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882227">
        <w:rPr>
          <w:rFonts w:ascii="Times New Roman" w:hAnsi="Times New Roman" w:cs="Times New Roman"/>
          <w:bCs/>
          <w:i/>
          <w:sz w:val="28"/>
          <w:szCs w:val="28"/>
        </w:rPr>
        <w:t xml:space="preserve">еления Луговской на 2020 год», «Объем межбюджетных трансфертов, получаемых из других бюджетов бюджетной системы Российской Федерации на 2020 год», </w:t>
      </w:r>
      <w:r w:rsidR="00B879D7">
        <w:rPr>
          <w:rFonts w:ascii="Times New Roman" w:hAnsi="Times New Roman" w:cs="Times New Roman"/>
          <w:bCs/>
          <w:i/>
          <w:sz w:val="28"/>
          <w:szCs w:val="28"/>
        </w:rPr>
        <w:t>«Объем межбюджетных трансфертов, передаваемых бюджетам бюджетной системы Российской Федерации</w:t>
      </w:r>
      <w:r w:rsidR="001537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879D7">
        <w:rPr>
          <w:rFonts w:ascii="Times New Roman" w:hAnsi="Times New Roman" w:cs="Times New Roman"/>
          <w:bCs/>
          <w:i/>
          <w:sz w:val="28"/>
          <w:szCs w:val="28"/>
        </w:rPr>
        <w:t>на 2020 год».</w:t>
      </w:r>
    </w:p>
    <w:p w:rsidR="00D00712" w:rsidRPr="00B879D7" w:rsidRDefault="00D00712" w:rsidP="00D0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D7">
        <w:rPr>
          <w:rFonts w:ascii="Times New Roman" w:hAnsi="Times New Roman" w:cs="Times New Roman"/>
          <w:bCs/>
          <w:sz w:val="28"/>
          <w:szCs w:val="28"/>
        </w:rPr>
        <w:t xml:space="preserve">Объем доходов и расходов, размер </w:t>
      </w:r>
      <w:r w:rsidR="00B879D7" w:rsidRPr="00B879D7">
        <w:rPr>
          <w:rFonts w:ascii="Times New Roman" w:hAnsi="Times New Roman" w:cs="Times New Roman"/>
          <w:bCs/>
          <w:sz w:val="28"/>
          <w:szCs w:val="28"/>
        </w:rPr>
        <w:t>дефицита</w:t>
      </w:r>
      <w:r w:rsidRPr="00B879D7">
        <w:rPr>
          <w:rFonts w:ascii="Times New Roman" w:hAnsi="Times New Roman" w:cs="Times New Roman"/>
          <w:bCs/>
          <w:sz w:val="28"/>
          <w:szCs w:val="28"/>
        </w:rPr>
        <w:t xml:space="preserve"> в проекте решения соответствуют представленной отчетности. </w:t>
      </w:r>
    </w:p>
    <w:p w:rsidR="00D00712" w:rsidRDefault="00D00712" w:rsidP="00D007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F12D0" w:rsidRPr="00E66568" w:rsidRDefault="006F12D0" w:rsidP="006F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6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Луговской</w:t>
      </w:r>
    </w:p>
    <w:p w:rsidR="006F12D0" w:rsidRPr="00E66568" w:rsidRDefault="006F12D0" w:rsidP="006F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12D0" w:rsidRPr="00E61A30" w:rsidRDefault="006F12D0" w:rsidP="006F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                                      от 24.12.2019 № 153 «О бюджете сельского поселения Луговской                        на 2020 год и плановый период 2021 и 2022 годов» (в первоначальной редакции) утверждены основные характеристики бюджета сельского поселения на 2020 год: </w:t>
      </w:r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– 70 505,3 тыс. рублей, расходы                                            – 70 505,3 тыс. рублей, дефицит – 0,00 тыс. рублей.</w:t>
      </w:r>
    </w:p>
    <w:p w:rsidR="006F12D0" w:rsidRPr="00E61A30" w:rsidRDefault="006F12D0" w:rsidP="006F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2020 году в бюджет сельского поселения вносились изменения, в результате которых бюджет сельского поселения увеличился по доходам на 10 203,6 тыс. рублей                                   или 14,5 % и составил 80 708,9 тыс. рублей, по расходам увеличился                              на 18 604,6 тыс. рублей или 26,4 % и составил 89 109,9 тыс. рублей.</w:t>
      </w:r>
      <w:proofErr w:type="gramEnd"/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8 401,0 тыс. рублей.</w:t>
      </w:r>
    </w:p>
    <w:p w:rsidR="006F12D0" w:rsidRPr="00E61A30" w:rsidRDefault="006F12D0" w:rsidP="006F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2020 год характеризуются следующими показателями: доходы исполнены в объеме                 - 78 693,7 тыс. рублей или 97,5 % от уточненного плана; расходы исполнены в объеме – 79 406,4 тыс. рублей или 89,1 % от уточненного плана; в результате исполнения бюджета сельского поселения за 2020 год сложился дефицит в сумме – 712,7 тыс. рублей.</w:t>
      </w:r>
      <w:proofErr w:type="gramEnd"/>
    </w:p>
    <w:p w:rsidR="006F12D0" w:rsidRPr="00E66568" w:rsidRDefault="006F12D0" w:rsidP="006F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E66568" w:rsidRDefault="006F12D0" w:rsidP="006F12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56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F12D0" w:rsidRPr="00E66568" w:rsidRDefault="006F12D0" w:rsidP="006F12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5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E66568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E66568" w:rsidTr="006B78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66568" w:rsidRDefault="006F12D0" w:rsidP="006B7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             с решением Совета депутатов сельского поселения                    24.12.2019 № 153                     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(с изменениями от 28.12.2020</w:t>
            </w: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219)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66568" w:rsidRDefault="006F12D0" w:rsidP="006B7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66568" w:rsidRDefault="006F12D0" w:rsidP="006B7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66568" w:rsidRDefault="006F12D0" w:rsidP="006B7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E66568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66568" w:rsidRDefault="006F12D0" w:rsidP="006B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665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F12D0" w:rsidRPr="008B2DF3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80 708,9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80 708,9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78 693,7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78 693,7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6F12D0" w:rsidRPr="008B2DF3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89 109,9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89 109,9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79 406,4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79 406,4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6F12D0" w:rsidRPr="008B2DF3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Дефицит (профицит)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-8 401,0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-8 401,0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-712,7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F12D0" w:rsidRPr="008B2DF3" w:rsidRDefault="006F12D0" w:rsidP="008B2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2D0" w:rsidRPr="00E61A30" w:rsidRDefault="006F12D0" w:rsidP="006F12D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6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1A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 поселения Луговской:</w:t>
      </w:r>
    </w:p>
    <w:p w:rsidR="006F12D0" w:rsidRPr="00E61A30" w:rsidRDefault="006F12D0" w:rsidP="006F12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6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2019 и 2020 годы представлено в Таблице 2.</w:t>
      </w:r>
    </w:p>
    <w:p w:rsidR="006F12D0" w:rsidRPr="00E61A30" w:rsidRDefault="006F12D0" w:rsidP="006F12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61A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E61A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10"/>
        <w:gridCol w:w="1052"/>
        <w:gridCol w:w="1052"/>
        <w:gridCol w:w="955"/>
        <w:gridCol w:w="1149"/>
        <w:gridCol w:w="1052"/>
        <w:gridCol w:w="932"/>
        <w:gridCol w:w="694"/>
      </w:tblGrid>
      <w:tr w:rsidR="006F12D0" w:rsidRPr="00025E54" w:rsidTr="006B78C0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</w:t>
            </w:r>
            <w:proofErr w:type="spellEnd"/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-е факта 2020 года от факта 2019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6F12D0" w:rsidRPr="00025E54" w:rsidTr="006B78C0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025E54" w:rsidTr="008419A3">
        <w:trPr>
          <w:trHeight w:val="74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025E54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25E5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81 620,6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80 708,9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78 693,7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-2 926,9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6F12D0" w:rsidRPr="008B2DF3" w:rsidTr="008419A3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Налоговые и неналоговые доходы, в </w:t>
            </w:r>
            <w:proofErr w:type="spellStart"/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12 690,3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10 785,7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10 657,5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-2 032,8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6F12D0" w:rsidRPr="008B2DF3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Налоговые доходы,                                  в </w:t>
            </w:r>
            <w:proofErr w:type="spellStart"/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11 868,3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10 085,7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9 694,3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-2 174,0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81,7</w:t>
            </w:r>
          </w:p>
        </w:tc>
      </w:tr>
      <w:tr w:rsidR="006F12D0" w:rsidRPr="008B2DF3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4 111,0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4 035,7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-351,6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-2 211,7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</w:t>
            </w:r>
          </w:p>
        </w:tc>
      </w:tr>
      <w:tr w:rsidR="006F12D0" w:rsidRPr="008B2DF3" w:rsidTr="008419A3">
        <w:trPr>
          <w:trHeight w:val="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129,2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Неналоговые доходы, в </w:t>
            </w:r>
            <w:proofErr w:type="spellStart"/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025E54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822,1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963,2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137,6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141,1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117,2</w:t>
            </w:r>
          </w:p>
        </w:tc>
      </w:tr>
      <w:tr w:rsidR="006F12D0" w:rsidRPr="008B2DF3" w:rsidTr="008419A3">
        <w:trPr>
          <w:trHeight w:val="8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122,6</w:t>
            </w:r>
          </w:p>
        </w:tc>
      </w:tr>
      <w:tr w:rsidR="006F12D0" w:rsidRPr="008B2DF3" w:rsidTr="008419A3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166,2</w:t>
            </w:r>
          </w:p>
        </w:tc>
      </w:tr>
      <w:tr w:rsidR="006F12D0" w:rsidRPr="008B2DF3" w:rsidTr="008419A3">
        <w:trPr>
          <w:trHeight w:val="6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E9598A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1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</w:tr>
      <w:tr w:rsidR="008419A3" w:rsidRPr="008B2DF3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A3" w:rsidRPr="00025E54" w:rsidRDefault="008419A3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 xml:space="preserve">Штрафы, санкции </w:t>
            </w:r>
            <w:r w:rsidRPr="00025E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возмещения ущерба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A3" w:rsidRPr="008419A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419A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9A3" w:rsidRPr="008B2DF3" w:rsidRDefault="008419A3" w:rsidP="008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12D0" w:rsidRPr="008B2DF3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неналоговые поступления (невыясненные поступления)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12D0" w:rsidRPr="008B2DF3" w:rsidTr="008419A3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D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                   в </w:t>
            </w:r>
            <w:proofErr w:type="spellStart"/>
            <w:r w:rsidRPr="008B2DF3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8B2DF3">
              <w:rPr>
                <w:rFonts w:ascii="Times New Roman" w:hAnsi="Times New Roman" w:cs="Times New Roman"/>
                <w:b/>
                <w:sz w:val="16"/>
                <w:szCs w:val="16"/>
              </w:rPr>
              <w:t>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68 930,2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69 923,2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68 036,2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-894,0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58 623,8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58 476,3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58 476,3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-147,5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118,4</w:t>
            </w:r>
          </w:p>
        </w:tc>
      </w:tr>
      <w:tr w:rsidR="006F12D0" w:rsidRPr="008B2DF3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9 875,7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10 847,4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-915,3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6F12D0" w:rsidRPr="008B2DF3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A7C58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C58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F12D0" w:rsidRPr="008B2DF3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025E54" w:rsidRDefault="006F12D0" w:rsidP="006B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54">
              <w:rPr>
                <w:rFonts w:ascii="Times New Roman" w:hAnsi="Times New Roman" w:cs="Times New Roman"/>
                <w:sz w:val="16"/>
                <w:szCs w:val="16"/>
              </w:rPr>
              <w:t>Возврат остатков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B2DF3" w:rsidRDefault="006F12D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F12D0" w:rsidRPr="006C6B2E" w:rsidRDefault="006F12D0" w:rsidP="006F12D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6F12D0" w:rsidRPr="00EA7C58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Согласно данным годового отчета бюджет поселения по доходам исполнен за 2020 год в сумме 78 693,7 тыс. рублей, в том числе: налоговые и неналоговые доходы в сумме 10 657,5 тыс. рублей и безвозмездные поступления в сумме 68 036,2 тыс. рублей. Доходы бюджета поселения исполнены на 97,5 % от уточненного плана, в том числе: налоговые                        и неналоговые доходы на 98,8 %, безвозмездные поступления на 97,3 %.</w:t>
      </w:r>
    </w:p>
    <w:p w:rsidR="006F12D0" w:rsidRPr="00EA7C58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2019 годом исполнение бюджета по доходам уменьшилось на 2 926,9 тыс. рублей или 3,6 %, при этом налоговые                     и неналоговые доходы снизились на 2 032,8 тыс. рублей                               или 16,0 %, в части безвозмездных поступлений отмечается уменьшение                на 894,0 тыс. рублей или </w:t>
      </w:r>
      <w:r w:rsidR="00E95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Pr="00E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- за счет снижения иных межбюджетных трансфертов и дотаций.</w:t>
      </w:r>
      <w:proofErr w:type="gramEnd"/>
    </w:p>
    <w:p w:rsidR="00940163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структуре доходных источников уменьшилась доля собственных доходов (с 15,5 % до 13,5 %), доля безвозмездных поступлений ув</w:t>
      </w:r>
      <w:r w:rsidR="0094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еличилась (с 84,5 % до 86,5 %).</w:t>
      </w:r>
    </w:p>
    <w:p w:rsidR="006F12D0" w:rsidRPr="00C1488C" w:rsidRDefault="00940163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C1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2020 году доля налоговых и неналоговых доходов в общем объеме доходов поселения составила                    13,5 % или 10 657,5 тыс. рублей (в том числе доля налоговых доходов                     в общем объеме доходов составила 12,3 % или 9 694,3 тыс. рублей, доля неналоговых доходов составила 1,2 % или 963,2 тыс. рублей).</w:t>
      </w:r>
      <w:proofErr w:type="gramEnd"/>
    </w:p>
    <w:p w:rsidR="006F12D0" w:rsidRPr="00722BF3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Наибольший удельный вес 5,1 % в общем объеме исполненных доходов составляют налоги на товары (акцизы) – 4 035,7 тыс. рублей                с исполнением 98,2 % от годового уточненного плана.</w:t>
      </w:r>
    </w:p>
    <w:p w:rsidR="006F12D0" w:rsidRPr="00722BF3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по налогам на товары (акцизы) в 2020 году уменьшились на 351,6 тыс. рублей или 8,0 % к аналогичному показателю 2019 года.</w:t>
      </w:r>
    </w:p>
    <w:p w:rsidR="006F12D0" w:rsidRPr="00722BF3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Налоги на прибыль, доходы в 2020 году увеличились 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72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243,0 тыс. рублей или 6,8 % к аналогичному показателю 2019 года,  при этом исполнение к плану составило 109,2 % или 3 821,4 тыс. рублей.</w:t>
      </w:r>
    </w:p>
    <w:p w:rsidR="006F12D0" w:rsidRPr="00722BF3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Налоги на совокупный доход в 2020 году исполнены в объеме                    1 106,7 тыс. рублей или 58,2 % от уточненного плана, к аналогичному показателю 2019 года отмечается снижение на 2 211,7 тыс. рублей или</w:t>
      </w:r>
      <w:r w:rsidR="0015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22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66,6 %.</w:t>
      </w:r>
    </w:p>
    <w:p w:rsidR="006F12D0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земельный налог) в 2020 году исполнены в объеме 705,7 тыс. рублей                     или 129,6 % от годового уточненного плана; к аналогичному показателю                    2019 года отмечается увеличение на 159,5 тыс. рублей или 29,2 %.</w:t>
      </w:r>
    </w:p>
    <w:p w:rsidR="006F12D0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Госпошлина  в 2020 году исполнена в объеме 24,8 тыс. рублей или 82,7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Pr="006F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годового уточненного плана; к аналогичному показателю                    2019 года отмечается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на 13,1</w:t>
      </w:r>
      <w:r w:rsidRPr="006F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34,5</w:t>
      </w:r>
      <w:r w:rsidRPr="006F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4F5B25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Неналоговые доходы в 2020 году исполнены в объеме                         963,2 тыс. рублей или 137,6 % от уточненного плана. К аналогичному показателю 2019 года отмечается увеличение на 141,1 тыс. рублей             или </w:t>
      </w:r>
      <w:r w:rsidR="004F5B25"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17,2</w:t>
      </w: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6F12D0" w:rsidRPr="004F5B25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в общем объеме доходов занимают доходы </w:t>
      </w:r>
      <w:r w:rsidR="004F5B25"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использования имущества, находящегося                                         в государственной и муниципальной собственности 1</w:t>
      </w: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,0 % или 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4F5B25"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762,5</w:t>
      </w: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1</w:t>
      </w:r>
      <w:r w:rsidR="004F5B25"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27,1</w:t>
      </w: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2019 года отмечается увеличение данных доходов 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F5B25"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140,6 тыс. рублей или 22,6</w:t>
      </w:r>
      <w:r w:rsidRPr="004F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8932EE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Доходы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исполнены в объеме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166,5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1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66,5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аналогичному показателю 2019 год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отмечается увеличение</w:t>
      </w:r>
      <w:r w:rsidR="00FA4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66,3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66,2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8932EE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Доходы от оказания платных услуг (работ) и компенсации затрат государства в 2020 году исполнены на сумму 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34,2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</w:t>
      </w:r>
      <w:r w:rsidR="004F5B25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уточненным планом данный вид доходов не предусмотрен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5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2019 года (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рублей) отмечается уменьшение на 65,8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34,2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раза.</w:t>
      </w:r>
    </w:p>
    <w:p w:rsidR="008932EE" w:rsidRPr="008932EE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Штрафы, санкции, возмещения ущерба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сельского поселения не поступали и их поступление не планировалось.</w:t>
      </w:r>
    </w:p>
    <w:p w:rsidR="006F12D0" w:rsidRPr="008932EE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доходов бюджета поселения в 2020 году доля безвозмездных поступлений в общем объеме доходов поселения составила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86,5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68 036,2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74,3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58 476,3 тыс. рублей, доля субвенций 0,8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599,5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джетных трансфертов составила 11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,4 % или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8 960,4 тыс. рублей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F12D0" w:rsidRPr="008932EE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аналогичному показателю 2019 года отмечается уменьшение безвозмездных поступлений на 8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94,0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32EE"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</w:t>
      </w:r>
      <w:r w:rsidRPr="0089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6C6B2E" w:rsidRDefault="006F12D0" w:rsidP="006F12D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00712" w:rsidRPr="006B78C0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B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78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6B78C0" w:rsidRPr="006B78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Луговской</w:t>
      </w:r>
      <w:r w:rsidRPr="006B78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00712" w:rsidRPr="006B78C0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В сравнении с первоначальным бюджетом </w:t>
      </w:r>
      <w:r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в 2020 году увеличены на </w:t>
      </w:r>
      <w:r w:rsidR="006B78C0"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B78C0"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>18 604,7</w:t>
      </w:r>
      <w:r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B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D00712" w:rsidRPr="006B78C0" w:rsidRDefault="00D00712" w:rsidP="00D0071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B78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993"/>
        <w:gridCol w:w="850"/>
      </w:tblGrid>
      <w:tr w:rsidR="00D00712" w:rsidRPr="006B78C0" w:rsidTr="008B2DF3">
        <w:trPr>
          <w:trHeight w:val="4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2020 год,                         тыс. рублей                               (решение Совета                  депутатов                                        от </w:t>
            </w:r>
            <w:r w:rsidR="006B78C0"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24.</w:t>
            </w: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12.2019 № </w:t>
            </w:r>
            <w:r w:rsidR="006B78C0"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                           план на 2020 год,                      тыс. рублей                   (решение Совета депутатов                            от 28.12.2020 № </w:t>
            </w:r>
            <w:r w:rsidR="006B78C0"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</w:t>
            </w: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D00712" w:rsidRPr="006B78C0" w:rsidTr="008B2DF3">
        <w:trPr>
          <w:trHeight w:val="6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00712" w:rsidRPr="006B78C0" w:rsidTr="008B2DF3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6B78C0" w:rsidRDefault="00D00712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B78C0" w:rsidRPr="006B78C0" w:rsidTr="008B2DF3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6B78C0" w:rsidRPr="006B78C0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</w:tr>
      <w:tr w:rsidR="006B78C0" w:rsidRPr="006B78C0" w:rsidTr="008B2DF3">
        <w:trPr>
          <w:trHeight w:val="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6B78C0" w:rsidRPr="006B78C0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6B78C0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78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114,1</w:t>
            </w:r>
          </w:p>
        </w:tc>
      </w:tr>
      <w:tr w:rsidR="006B78C0" w:rsidRPr="00C20382" w:rsidTr="008B2DF3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</w:tr>
      <w:tr w:rsidR="006B78C0" w:rsidRPr="00C20382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</w:t>
            </w:r>
          </w:p>
        </w:tc>
      </w:tr>
      <w:tr w:rsidR="006B78C0" w:rsidRPr="00C20382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B78C0" w:rsidRPr="00C20382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6B78C0" w:rsidRPr="00C20382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6B78C0" w:rsidRPr="00C20382" w:rsidTr="008B2DF3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-16,7</w:t>
            </w:r>
          </w:p>
        </w:tc>
      </w:tr>
      <w:tr w:rsidR="006B78C0" w:rsidRPr="00C20382" w:rsidTr="008B2DF3">
        <w:trPr>
          <w:trHeight w:val="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70 505,3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89 109,9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C0" w:rsidRPr="00C20382" w:rsidRDefault="006B78C0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</w:tbl>
    <w:p w:rsidR="00D00712" w:rsidRPr="00C20382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0712" w:rsidRPr="00C20382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C20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вносились 1</w:t>
      </w:r>
      <w:r w:rsidR="00B1702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 бюджет - решение Совета депутатов сельского поселения от </w:t>
      </w:r>
      <w:r w:rsidR="00B1702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B1702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годов»),                     с последующим оформлением решений Совета депутатов сельского поселения: от </w:t>
      </w:r>
      <w:r w:rsidR="00B1702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01.2020 № </w:t>
      </w:r>
      <w:r w:rsidR="00B1702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</w:t>
      </w:r>
      <w:r w:rsidR="00B1702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172, от 26.02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20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726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04.08.2020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17.09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3.11.2020 №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726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4E52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219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C20382" w:rsidRDefault="00427EAD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0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Контрольно-счетная палата отмечает, что частое внесение изменений в решение о бюджете указывает на низкое качество бюджетного планирования</w:t>
      </w:r>
      <w:r w:rsidR="00D00712" w:rsidRPr="00C20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D00712" w:rsidRPr="00C20382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Федерации, статьей 14  решения Совета депутатов сельского поселения от 12.12.2019 № 55 «О бюджете сельского поселения </w:t>
      </w:r>
      <w:r w:rsidR="006B78C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 определены основания внесения в 2020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00712" w:rsidRPr="00C20382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уменьшены расходы по 1 разделу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712" w:rsidRPr="00C20382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«Физическая культура и спорт» на </w:t>
      </w:r>
      <w:r w:rsidR="001B4B8E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299,8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B974DF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00712" w:rsidRPr="00C20382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B974DF" w:rsidRPr="00C20382" w:rsidRDefault="00D00712" w:rsidP="00B974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974DF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 на 300,0 тыс. рублей или в 75 раз               </w:t>
      </w:r>
      <w:r w:rsidR="008419A3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(7 500%) </w:t>
      </w:r>
      <w:r w:rsidR="00B974DF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первоначально утвержденным планом</w:t>
      </w:r>
      <w:r w:rsidR="00DB772A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r w:rsidR="00B974DF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4,0 тыс. рублей;</w:t>
      </w:r>
    </w:p>
    <w:p w:rsidR="00EC08E7" w:rsidRPr="003A71F8" w:rsidRDefault="00EC08E7" w:rsidP="00EC08E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экономика» на 6 554,0 тыс. рублей или 114,1 %;</w:t>
      </w:r>
    </w:p>
    <w:p w:rsidR="00DB772A" w:rsidRPr="003A71F8" w:rsidRDefault="00EC08E7" w:rsidP="00EC08E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«Жилищно-коммуна</w:t>
      </w:r>
      <w:r w:rsidR="00DB772A"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хозяйство» на 9 742,4</w:t>
      </w: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</w:t>
      </w:r>
      <w:r w:rsidR="00DB772A"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>113,5 %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 раза)</w:t>
      </w:r>
      <w:r w:rsidR="00DB772A"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72A" w:rsidRPr="003A71F8" w:rsidRDefault="00DB772A" w:rsidP="00DB772A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«Национальная безопасность и правоохранительная деятельность»                 на 302,1 тыс. рублей  или 61,4 %.</w:t>
      </w:r>
    </w:p>
    <w:p w:rsidR="00DB772A" w:rsidRPr="003A71F8" w:rsidRDefault="00DB772A" w:rsidP="00DB772A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сторону увеличения в течение 2020 года скорректирован объем расходов по разделам:</w:t>
      </w:r>
    </w:p>
    <w:p w:rsidR="001B4B8E" w:rsidRPr="003A71F8" w:rsidRDefault="003A71F8" w:rsidP="001B4B8E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B8E"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 на</w:t>
      </w: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384,0</w:t>
      </w:r>
      <w:r w:rsidR="001B4B8E"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1B4B8E"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A73EC" w:rsidRPr="005A73EC" w:rsidRDefault="001B4B8E" w:rsidP="005A73E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3EC"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 на 87,1 тыс. рублей или 19,9 %;</w:t>
      </w:r>
    </w:p>
    <w:p w:rsidR="001B4B8E" w:rsidRPr="005A73EC" w:rsidRDefault="005A73EC" w:rsidP="001B4B8E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«Культура и кинематография» на 1 442,3 тыс. рулей или 4,8 %.</w:t>
      </w:r>
    </w:p>
    <w:p w:rsidR="00D00712" w:rsidRPr="005A73EC" w:rsidRDefault="005A73EC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«Социальная политика» </w:t>
      </w:r>
      <w:r w:rsidR="00D00712"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="00D00712"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D00712"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00712" w:rsidRPr="005A73EC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Первоначальным планом не были предусмотрены расходы </w:t>
      </w:r>
      <w:r w:rsidR="0015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«Здравоохранение», в течение года утверждены расходы </w:t>
      </w:r>
      <w:r w:rsidR="0015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 </w:t>
      </w:r>
      <w:r w:rsidR="005A73EC"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00712" w:rsidRPr="005A73EC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6B78C0" w:rsidRPr="005A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Pr="005A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 году в разрезе разделов бюджетной классификации представлено в Таблице 4.</w:t>
      </w:r>
    </w:p>
    <w:p w:rsidR="00D00712" w:rsidRPr="005A73EC" w:rsidRDefault="00D00712" w:rsidP="00D0071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73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D00712" w:rsidRPr="00D00712" w:rsidTr="005A73EC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2020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2020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A73EC" w:rsidRDefault="00D00712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73EC" w:rsidRPr="00D00712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5A7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-1 020,8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5A7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73EC" w:rsidRPr="00D00712" w:rsidTr="005A73EC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-4 551,8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</w:tr>
      <w:tr w:rsidR="005A73EC" w:rsidRPr="00D00712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18 325,7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-4 036,7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5A73EC" w:rsidRPr="00D00712" w:rsidTr="00541BE2">
        <w:trPr>
          <w:trHeight w:val="4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A73EC" w:rsidRPr="00D00712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C" w:rsidRPr="005A73EC" w:rsidRDefault="005A73EC" w:rsidP="005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89 109,9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79 406,4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-9 703,5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EC" w:rsidRPr="008B2DF3" w:rsidRDefault="005A73EC" w:rsidP="008B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</w:tbl>
    <w:p w:rsidR="00D00712" w:rsidRPr="008B2DF3" w:rsidRDefault="00D00712" w:rsidP="00D0071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Решением Совета депутатов сельского поселения 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2DF3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8B2DF3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годов» (с изменениями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28.12.2020 № </w:t>
      </w:r>
      <w:r w:rsidR="008B2DF3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расходы бюджета на 2020 год утверждены в размере </w:t>
      </w:r>
      <w:r w:rsidR="008B2DF3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89 109,9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2020 год составило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F3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79 406,4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B2DF3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89,1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D00712" w:rsidRPr="008B2DF3" w:rsidRDefault="00D00712" w:rsidP="00D0071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                  за 2019-2020 годы представлена в Таблице 5. </w:t>
      </w:r>
    </w:p>
    <w:p w:rsidR="00D00712" w:rsidRPr="008B2DF3" w:rsidRDefault="00D00712" w:rsidP="00D00712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DF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640"/>
        <w:gridCol w:w="2193"/>
        <w:gridCol w:w="1128"/>
        <w:gridCol w:w="993"/>
        <w:gridCol w:w="1041"/>
        <w:gridCol w:w="1128"/>
        <w:gridCol w:w="993"/>
        <w:gridCol w:w="1206"/>
        <w:gridCol w:w="236"/>
      </w:tblGrid>
      <w:tr w:rsidR="00D00712" w:rsidRPr="008B2DF3" w:rsidTr="004D4D58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</w:tr>
      <w:tr w:rsidR="00D00712" w:rsidRPr="00D00712" w:rsidTr="00D00712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2019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2020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B2DF3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2423AE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2423AE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2423AE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541BE2" w:rsidRDefault="00D00712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4D4D58" w:rsidRPr="00D00712" w:rsidTr="00D00712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4D4D58" w:rsidRPr="00D00712" w:rsidTr="00D00712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4D4D58" w:rsidRPr="00D00712" w:rsidTr="001805A1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58" w:rsidRPr="004D4D58" w:rsidRDefault="004D4D58" w:rsidP="004D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4D4D58" w:rsidRPr="00D00712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4D4D58" w:rsidRPr="00D00712" w:rsidTr="00D00712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541BE2" w:rsidRDefault="004D4D58" w:rsidP="00D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1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8" w:rsidRPr="004D4D58" w:rsidRDefault="004D4D58" w:rsidP="0018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78 059,1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18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18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18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79 406,4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18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58" w:rsidRPr="004D4D58" w:rsidRDefault="004D4D58" w:rsidP="004D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D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</w:tcPr>
          <w:p w:rsidR="004D4D58" w:rsidRDefault="004D4D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A873BD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2019 года расходы бюджета сельского поселения в 2020 году у</w:t>
      </w:r>
      <w:r w:rsidR="00541BE2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1BE2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1 347,3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с</w:t>
      </w:r>
      <w:r w:rsidR="004D4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91,1 %</w:t>
      </w:r>
      <w:r w:rsidR="004D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89,1%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A873BD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доля расходов бюджета поселения в 2020 году приходится     на разделы: культура и кинематография 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2019 году 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общегосударственные вопросы 2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2019 году 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28,7 %), 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18,0 % (в 2019 году 18,6 %).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12" w:rsidRPr="00A873BD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объеме 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22 064,2 тыс. рублей или 9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(в 2019 году – 2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A873BD"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13262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размере 2</w:t>
      </w:r>
      <w:r w:rsidR="00A873BD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2 064,2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D00712" w:rsidRPr="0013262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DB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1 941,</w:t>
      </w:r>
      <w:r w:rsidR="00622881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D00712" w:rsidRPr="0013262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F9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16 882,9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1</w:t>
      </w:r>
      <w:r w:rsidR="00375DB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7CFD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 444,5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6</w:t>
      </w:r>
      <w:r w:rsidR="00375DB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 169,2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отнесенному к муниципальным служащим; </w:t>
      </w:r>
      <w:r w:rsidR="00BE2DC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269,2 тыс. рублей – 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несоциальные выплаты</w:t>
      </w:r>
      <w:r w:rsidR="00BE2DC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в натуральной форме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</w:t>
      </w:r>
    </w:p>
    <w:p w:rsidR="00D00712" w:rsidRPr="0013262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00F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BA1BA7" w:rsidRPr="0013262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75DB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DC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DB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2DC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вопросы, в том числе: 2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 069,9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закупка товаров и услуг для муниципальных нужд (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услуги, 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471,</w:t>
      </w:r>
      <w:r w:rsidR="0054375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рублей </w:t>
      </w:r>
      <w:r w:rsidR="006A6731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коммунальные услуги; 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630,8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</w:t>
      </w:r>
      <w:r w:rsidR="006A6731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имущества; 5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BE2DC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й – прочие работы и услуги;</w:t>
      </w:r>
      <w:proofErr w:type="gramEnd"/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911,9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поступление нефинансовых активов), </w:t>
      </w:r>
      <w:r w:rsidR="001E3D05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437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756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3D05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EB5621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 нал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огов, сборов и иных платежей, 4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</w:t>
      </w:r>
      <w:r w:rsidR="004D4D58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, 942,</w:t>
      </w:r>
      <w:r w:rsidR="001E3D05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BA7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коммунальные услуги</w:t>
      </w: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731"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0712" w:rsidRPr="001501E9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функционирование главы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78C0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18 824,8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85,3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                                    (2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2 064,2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также составляет 2</w:t>
      </w:r>
      <w:r w:rsidR="00132624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79 406,4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полномочий затрачено 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3 239,4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14,7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 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A6731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2 064,2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proofErr w:type="gramEnd"/>
    </w:p>
    <w:p w:rsidR="00D00712" w:rsidRPr="001501E9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B78C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1501E9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18 824,8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419A3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на</w:t>
      </w:r>
      <w:r w:rsidR="00FF6B13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8 167,3 тыс. рублей или на </w:t>
      </w:r>
      <w:r w:rsidR="008419A3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E9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76,6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размера собственных доходов сельского поселения в 2020 году, которые исполнены в объеме </w:t>
      </w:r>
      <w:r w:rsidR="001501E9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10 657,5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00712" w:rsidRPr="001501E9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525,1 тыс. рублей или 100,00 % (в 2019 году – </w:t>
      </w:r>
      <w:r w:rsidR="001501E9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453,1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1501E9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733,1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92,3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2019 году – </w:t>
      </w:r>
      <w:r w:rsidR="001501E9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569,1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501E9"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Pr="001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526701" w:rsidRDefault="00BE627E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B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Pr="00BE627E">
        <w:rPr>
          <w:rFonts w:ascii="Times New Roman" w:eastAsia="Times New Roman" w:hAnsi="Times New Roman" w:cs="Times New Roman"/>
          <w:sz w:val="28"/>
          <w:szCs w:val="28"/>
          <w:lang w:eastAsia="ru-RU"/>
        </w:rPr>
        <w:t>7 748,1</w:t>
      </w:r>
      <w:r w:rsidR="00D00712" w:rsidRPr="00B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63,0</w:t>
      </w:r>
      <w:r w:rsidR="0024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712" w:rsidRPr="00BE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 году                                           – 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9 333,6</w:t>
      </w:r>
      <w:r w:rsidR="00D00712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="00D00712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526701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объеме </w:t>
      </w:r>
      <w:r w:rsidR="00BE627E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14 289,0 тыс. рублей или 7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2019 году                             </w:t>
      </w:r>
      <w:r w:rsidR="00BE627E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14 527,4 тыс. рублей или 71,1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526701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06 00 «Охрана окружающей среды» расходы исполнены              в объеме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286,7 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2019 году –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526701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08 00 «Культура и кинематография» расходы исполнены                в объеме 3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1 705,0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2019 году                                            –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28 270,2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FF6B13" w:rsidRPr="00C20382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09 00 «Здравоохранение» расходы исполнены </w:t>
      </w:r>
      <w:r w:rsidR="0086605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26701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F6B13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50,2 %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Первоначальным планом ассигнования предусмотрены не были. Средства в объеме </w:t>
      </w:r>
      <w:r w:rsidR="00526701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выделены </w:t>
      </w:r>
      <w:r w:rsidR="0086605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администрации Ханты-Ман</w:t>
      </w:r>
      <w:r w:rsidR="00526701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</w:t>
      </w:r>
      <w:r w:rsidR="00866050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26701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мероприятия, с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профилактикой и устранением последствий распространения новой коронавирусной инфекции (</w:t>
      </w:r>
      <w:r w:rsidRPr="00C203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FF6B13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C20382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526701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540,0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2019 году                                                – </w:t>
      </w:r>
      <w:r w:rsidR="00526701"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>505,0</w:t>
      </w: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D00712" w:rsidRPr="00526701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11 00 «Физическая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спорт» расходы исполнены  в сумме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1 498,9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2019 году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6701"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>1 830,2</w:t>
      </w:r>
      <w:r w:rsidRPr="0052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AD60BB" w:rsidRDefault="00AD60BB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0712" w:rsidRPr="00AD60B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2020 год утвержден в размере 1</w:t>
      </w:r>
      <w:r w:rsidR="005642A8"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416,5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1 464,3 тыс. рублей (постановление </w:t>
      </w:r>
      <w:r w:rsidRPr="00AD60BB">
        <w:rPr>
          <w:rFonts w:ascii="Times New Roman" w:hAnsi="Times New Roman" w:cs="Times New Roman"/>
          <w:sz w:val="28"/>
          <w:szCs w:val="28"/>
        </w:rPr>
        <w:t>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далее - Постановление от 23.08.2019</w:t>
      </w:r>
      <w:proofErr w:type="gramEnd"/>
      <w:r w:rsidRPr="00AD60B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D60BB">
        <w:rPr>
          <w:rFonts w:ascii="Times New Roman" w:hAnsi="Times New Roman" w:cs="Times New Roman"/>
          <w:sz w:val="28"/>
          <w:szCs w:val="28"/>
        </w:rPr>
        <w:t xml:space="preserve">278-п), 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составило 1</w:t>
      </w:r>
      <w:r w:rsidR="00D04DB5"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526,8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D04DB5"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04DB5"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выше установленного норматива  на </w:t>
      </w:r>
      <w:r w:rsidR="00D04DB5"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04DB5"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:rsidR="001805A1" w:rsidRPr="001805A1" w:rsidRDefault="00D00712" w:rsidP="001805A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D60BB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</w:t>
      </w:r>
      <w:r w:rsidRPr="00AD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сложилось в результате выплаты в 2020 году годовой премии за 2019 год  в размере 2,5 месячных фонда оплаты труда, исчисленного путем деления на 12 суммы фактически начисленного денежного содержания за год с учетом фактически отработанного времени. </w:t>
      </w:r>
      <w:r w:rsid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премии за 2019 год в 2020 году про</w:t>
      </w:r>
      <w:r w:rsidR="0086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ведена на основании распоряжения администрации сельского поселения Луговской № 248-р от 31.12.2019 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поощрении по итогам работы за 12 месяцев 2019 года».</w:t>
      </w:r>
    </w:p>
    <w:p w:rsidR="001805A1" w:rsidRPr="001805A1" w:rsidRDefault="00D00712" w:rsidP="001805A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№ 17</w:t>
      </w:r>
      <w:r w:rsidR="004B474E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B474E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8.02.2014</w:t>
      </w: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Положения о денежном содержании лиц, замещающих муниципальные должности в органах местного самоуправления сельского поселения </w:t>
      </w:r>
      <w:r w:rsidR="006B78C0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№ </w:t>
      </w:r>
      <w:r w:rsidR="004B474E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474E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</w:t>
      </w: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определено, что изменения в части выплаты премии по результатам работы за год в размере 2,0 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месячных фондов оплаты труда </w:t>
      </w:r>
      <w:r w:rsidR="001805A1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после  официального</w:t>
      </w:r>
      <w:r w:rsidR="008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A1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A1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A1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на правоотношения,</w:t>
      </w:r>
      <w:r w:rsidR="0086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5A1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</w:t>
      </w:r>
      <w:proofErr w:type="gramEnd"/>
      <w:r w:rsidR="001805A1" w:rsidRP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2020 года.</w:t>
      </w:r>
      <w:r w:rsidR="001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12" w:rsidRPr="00CE095B" w:rsidRDefault="00D00712" w:rsidP="00C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ФОТ муниципальных служащих на 2020 год первоначальным бюджетом сельского поселения утвержден в сумме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7 771,0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8 005,2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234,2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 или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E095B" w:rsidRPr="00CE095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Фонд оплаты труда муниципальных служащих за 2020 год исполнен  –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8 005,2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CE095B">
        <w:rPr>
          <w:rFonts w:ascii="Times New Roman" w:hAnsi="Times New Roman" w:cs="Times New Roman"/>
          <w:sz w:val="28"/>
          <w:szCs w:val="28"/>
        </w:rPr>
        <w:t xml:space="preserve">от 23.08.2019 № 278-п 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8 242,9 тыс. рублей. Экспертно-аналитическим мероприятием превышение норматива не установлено.</w:t>
      </w:r>
    </w:p>
    <w:p w:rsidR="00D00712" w:rsidRPr="00D00712" w:rsidRDefault="00D00712" w:rsidP="00D0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D00712" w:rsidRPr="00CE095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CE095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CE095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CE095B" w:rsidRDefault="00D00712" w:rsidP="00D0071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CE095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2021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00712" w:rsidRPr="00CE095B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6B78C0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6B78C0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 </w:t>
      </w:r>
      <w:r w:rsidR="002A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28.12.2020 №</w:t>
      </w:r>
      <w:r w:rsidR="00CE095B"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отклонения  не выявлены.</w:t>
      </w:r>
      <w:proofErr w:type="gramEnd"/>
    </w:p>
    <w:p w:rsidR="00D00712" w:rsidRPr="00CE095B" w:rsidRDefault="00D00712" w:rsidP="00D0071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FC701D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7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2021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F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BD3719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>68) и составляют на конец года 5 101 589,78</w:t>
      </w: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(на начало года </w:t>
      </w:r>
      <w:r w:rsidR="00FC701D"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4 918 169,78 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FC701D"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>4 602 963,19</w:t>
      </w: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(на начало года </w:t>
      </w:r>
      <w:r w:rsidR="00FC701D"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>4 363 011,55</w:t>
      </w: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рубль). В 2020 году произошло увеличение объемов нефинансовых активов в части остаточной стоимости основных средств                    на </w:t>
      </w:r>
      <w:r w:rsidR="00FC701D"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183 420,00 </w:t>
      </w: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BD3719"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00712" w:rsidRPr="00BD3719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BD3719" w:rsidRDefault="00D00712" w:rsidP="00D0071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8A55CF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BD3719"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165 270 858,97</w:t>
      </w: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 </w:t>
      </w:r>
      <w:r w:rsidR="00BD3719"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9 918 094,08</w:t>
      </w: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доходов от собственности в сумме </w:t>
      </w:r>
      <w:r w:rsidR="00BD3719"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1 787 319,57</w:t>
      </w: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оказания платных услуг (работ), компенсаций затрат </w:t>
      </w:r>
      <w:r w:rsidR="003E0D9E"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34 204,13</w:t>
      </w: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3E0D9E"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штрафы</w:t>
      </w: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денежные поступления текущего характера – </w:t>
      </w:r>
      <w:r w:rsidR="003E0D9E"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>68 036 205,41</w:t>
      </w:r>
      <w:r w:rsidRPr="003E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                             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операций с активами – (мину</w:t>
      </w:r>
      <w:r w:rsidR="003E0D9E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с) 38 395</w:t>
      </w:r>
      <w:proofErr w:type="gramEnd"/>
      <w:r w:rsidR="003E0D9E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894,93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</w:t>
      </w:r>
      <w:proofErr w:type="spellStart"/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неденежные</w:t>
      </w:r>
      <w:proofErr w:type="spellEnd"/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сектор государственного управления                                – 1</w:t>
      </w:r>
      <w:r w:rsidR="003E0D9E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23 890 930,71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00712" w:rsidRPr="008A55CF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9F144A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102 942 567,11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9F144A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19 132 827,90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9F144A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</w:t>
      </w:r>
      <w:r w:rsidR="009F144A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16 579 146,98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144A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бюджетам – </w:t>
      </w:r>
      <w:r w:rsidR="009F144A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10 777 900,99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C5047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организациям – 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27 505 670,00 рублей</w:t>
      </w:r>
      <w:r w:rsidR="00C5047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(26,7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на социальное обеспечение  – 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860 769,73 рублей</w:t>
      </w:r>
      <w:r w:rsidR="00C5047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(0,8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по операциям</w:t>
      </w:r>
      <w:proofErr w:type="gramEnd"/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активами – 2</w:t>
      </w:r>
      <w:r w:rsidR="001E2E4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8 036 054,20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1E2E4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 расходы 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E2E4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50 197,31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(0,04 %).</w:t>
      </w:r>
    </w:p>
    <w:p w:rsidR="00D00712" w:rsidRPr="008A55CF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1E2E40"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>62 328 291,86</w:t>
      </w: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8A55CF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01.01.2021 отклонений                    не выявлено.</w:t>
      </w:r>
    </w:p>
    <w:p w:rsidR="00D00712" w:rsidRPr="003E134E" w:rsidRDefault="00D00712" w:rsidP="00D0071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3E134E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3E134E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1A5E78"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>78 659 468,22</w:t>
      </w: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«Выбытия» </w:t>
      </w: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отражены расходы бюджета в размере – </w:t>
      </w:r>
      <w:r w:rsidR="001A5E78"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>79 406 402,29</w:t>
      </w: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746 934,07</w:t>
      </w: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D24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3E134E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3E134E" w:rsidRDefault="00D00712" w:rsidP="00D00712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Пояснительная записка состоит из текстовой части и пяти разделов, включающих в себя таблицы и приложения, определенные Инструкцией </w:t>
      </w: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191н.</w:t>
      </w:r>
    </w:p>
    <w:p w:rsidR="003714E6" w:rsidRPr="001E2604" w:rsidRDefault="003714E6" w:rsidP="003714E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содержанием пунктов 8, 152 Инструкции № 191н              в составе </w:t>
      </w: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отчетности в связи с отсутствием числовых показателей                не представлены отдельные формы отчетности.</w:t>
      </w:r>
      <w:r w:rsidR="001E2604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43B9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33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текстовой части </w:t>
      </w:r>
      <w:r w:rsidR="008943B9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Пояснительной записки</w:t>
      </w:r>
      <w:r w:rsidR="00F31B33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с нулевыми значениями предоставляются «18 форм»</w:t>
      </w:r>
      <w:r w:rsidR="001E2604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F31B33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943B9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1E2604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отчётности отсутствует.</w:t>
      </w: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4E6" w:rsidRPr="001E2604" w:rsidRDefault="003714E6" w:rsidP="003714E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2020 год контрольно-счетной палатой Ханты-Мансийского района осуществлялось              на выборочной основе.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6B78C0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2020 год и считает возможным предложить: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6B78C0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6B78C0"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соблюдение норматива денежного содержания лиц, замещающих муниципальные должности и должности муниципальной службы в соответствии с Постановлением от 23.08.2019 № 278-п;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D00712" w:rsidRPr="001E2604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2021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отчетности;</w:t>
      </w:r>
    </w:p>
    <w:p w:rsidR="00D00712" w:rsidRDefault="00D00712" w:rsidP="00D007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разработать и утвердить представительным органом сельского поселения, в соответствии с требованиями Бюджетного кодекса РФ, порядок представления, рассмотрения и утверждения годового отчета                     об исполнении бюджета.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00712" w:rsidSect="00CF4207">
      <w:footerReference w:type="default" r:id="rId9"/>
      <w:footerReference w:type="first" r:id="rId10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A3" w:rsidRDefault="008419A3" w:rsidP="00617B40">
      <w:pPr>
        <w:spacing w:after="0" w:line="240" w:lineRule="auto"/>
      </w:pPr>
      <w:r>
        <w:separator/>
      </w:r>
    </w:p>
  </w:endnote>
  <w:endnote w:type="continuationSeparator" w:id="0">
    <w:p w:rsidR="008419A3" w:rsidRDefault="008419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8419A3" w:rsidRDefault="008419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91">
          <w:rPr>
            <w:noProof/>
          </w:rPr>
          <w:t>15</w:t>
        </w:r>
        <w:r>
          <w:fldChar w:fldCharType="end"/>
        </w:r>
      </w:p>
    </w:sdtContent>
  </w:sdt>
  <w:p w:rsidR="008419A3" w:rsidRDefault="008419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8419A3">
    <w:pPr>
      <w:pStyle w:val="a8"/>
      <w:jc w:val="right"/>
    </w:pPr>
  </w:p>
  <w:p w:rsidR="008419A3" w:rsidRDefault="008419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A3" w:rsidRDefault="008419A3" w:rsidP="00617B40">
      <w:pPr>
        <w:spacing w:after="0" w:line="240" w:lineRule="auto"/>
      </w:pPr>
      <w:r>
        <w:separator/>
      </w:r>
    </w:p>
  </w:footnote>
  <w:footnote w:type="continuationSeparator" w:id="0">
    <w:p w:rsidR="008419A3" w:rsidRDefault="008419A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9B5"/>
    <w:rsid w:val="00012153"/>
    <w:rsid w:val="00022709"/>
    <w:rsid w:val="00025E54"/>
    <w:rsid w:val="00033B3F"/>
    <w:rsid w:val="00033C92"/>
    <w:rsid w:val="0003541E"/>
    <w:rsid w:val="00041CC3"/>
    <w:rsid w:val="0005194A"/>
    <w:rsid w:val="000553F6"/>
    <w:rsid w:val="00061CCD"/>
    <w:rsid w:val="00066C92"/>
    <w:rsid w:val="00067EE5"/>
    <w:rsid w:val="000805A8"/>
    <w:rsid w:val="000821E2"/>
    <w:rsid w:val="000842A8"/>
    <w:rsid w:val="000908D3"/>
    <w:rsid w:val="000918D5"/>
    <w:rsid w:val="00091F64"/>
    <w:rsid w:val="0009485B"/>
    <w:rsid w:val="00094C48"/>
    <w:rsid w:val="00094C89"/>
    <w:rsid w:val="000968DA"/>
    <w:rsid w:val="00097E54"/>
    <w:rsid w:val="000A00F5"/>
    <w:rsid w:val="000A20DE"/>
    <w:rsid w:val="000A2DED"/>
    <w:rsid w:val="000B1279"/>
    <w:rsid w:val="000B2CB0"/>
    <w:rsid w:val="000B30E4"/>
    <w:rsid w:val="000B3E99"/>
    <w:rsid w:val="000B4C48"/>
    <w:rsid w:val="000B6BD3"/>
    <w:rsid w:val="000D109A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6AD8"/>
    <w:rsid w:val="001076AF"/>
    <w:rsid w:val="00112516"/>
    <w:rsid w:val="00113D3B"/>
    <w:rsid w:val="00120E83"/>
    <w:rsid w:val="00122DF3"/>
    <w:rsid w:val="00132624"/>
    <w:rsid w:val="00133BD8"/>
    <w:rsid w:val="00134E46"/>
    <w:rsid w:val="0014357D"/>
    <w:rsid w:val="00144957"/>
    <w:rsid w:val="001501E9"/>
    <w:rsid w:val="00150967"/>
    <w:rsid w:val="00152485"/>
    <w:rsid w:val="00153726"/>
    <w:rsid w:val="00155BBC"/>
    <w:rsid w:val="0016100C"/>
    <w:rsid w:val="00167936"/>
    <w:rsid w:val="00172408"/>
    <w:rsid w:val="00173D4A"/>
    <w:rsid w:val="00176072"/>
    <w:rsid w:val="001769D2"/>
    <w:rsid w:val="001801ED"/>
    <w:rsid w:val="001805A1"/>
    <w:rsid w:val="00182AA0"/>
    <w:rsid w:val="00182B80"/>
    <w:rsid w:val="001847D2"/>
    <w:rsid w:val="00185C17"/>
    <w:rsid w:val="0018600B"/>
    <w:rsid w:val="00186A59"/>
    <w:rsid w:val="00194C2B"/>
    <w:rsid w:val="001A2BF7"/>
    <w:rsid w:val="001A5D45"/>
    <w:rsid w:val="001A5E78"/>
    <w:rsid w:val="001B4B8E"/>
    <w:rsid w:val="001B4EFA"/>
    <w:rsid w:val="001C13CB"/>
    <w:rsid w:val="001C44C3"/>
    <w:rsid w:val="001C5C3F"/>
    <w:rsid w:val="001E2604"/>
    <w:rsid w:val="001E2E40"/>
    <w:rsid w:val="001E3D05"/>
    <w:rsid w:val="001F6244"/>
    <w:rsid w:val="001F634C"/>
    <w:rsid w:val="00202407"/>
    <w:rsid w:val="00206006"/>
    <w:rsid w:val="00215BC8"/>
    <w:rsid w:val="00216170"/>
    <w:rsid w:val="00216931"/>
    <w:rsid w:val="0021693B"/>
    <w:rsid w:val="00216D6B"/>
    <w:rsid w:val="00224F51"/>
    <w:rsid w:val="00225C7D"/>
    <w:rsid w:val="002300FD"/>
    <w:rsid w:val="00234040"/>
    <w:rsid w:val="002357FC"/>
    <w:rsid w:val="00237586"/>
    <w:rsid w:val="002423AE"/>
    <w:rsid w:val="00243BEB"/>
    <w:rsid w:val="002452E9"/>
    <w:rsid w:val="0025191C"/>
    <w:rsid w:val="002529F0"/>
    <w:rsid w:val="00255B2F"/>
    <w:rsid w:val="00255FBB"/>
    <w:rsid w:val="00256C72"/>
    <w:rsid w:val="00261D49"/>
    <w:rsid w:val="00266F18"/>
    <w:rsid w:val="00273148"/>
    <w:rsid w:val="00276FC1"/>
    <w:rsid w:val="0028052E"/>
    <w:rsid w:val="00282639"/>
    <w:rsid w:val="002854B2"/>
    <w:rsid w:val="00287AD0"/>
    <w:rsid w:val="00297A80"/>
    <w:rsid w:val="002A1F3E"/>
    <w:rsid w:val="002A284A"/>
    <w:rsid w:val="002A40DC"/>
    <w:rsid w:val="002A75A0"/>
    <w:rsid w:val="002C33AE"/>
    <w:rsid w:val="002C460E"/>
    <w:rsid w:val="002C64E6"/>
    <w:rsid w:val="002C7468"/>
    <w:rsid w:val="002D0994"/>
    <w:rsid w:val="002D14C2"/>
    <w:rsid w:val="002D3482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783"/>
    <w:rsid w:val="0031092A"/>
    <w:rsid w:val="00315FFB"/>
    <w:rsid w:val="00316E3B"/>
    <w:rsid w:val="00320BC1"/>
    <w:rsid w:val="003316B4"/>
    <w:rsid w:val="003349BE"/>
    <w:rsid w:val="00342F35"/>
    <w:rsid w:val="003437FE"/>
    <w:rsid w:val="00343BF0"/>
    <w:rsid w:val="00343FF5"/>
    <w:rsid w:val="00350157"/>
    <w:rsid w:val="00354E5F"/>
    <w:rsid w:val="00357F92"/>
    <w:rsid w:val="003604FB"/>
    <w:rsid w:val="00361E5C"/>
    <w:rsid w:val="003624D8"/>
    <w:rsid w:val="00362E42"/>
    <w:rsid w:val="0036492B"/>
    <w:rsid w:val="003714E6"/>
    <w:rsid w:val="0037207D"/>
    <w:rsid w:val="00375DB6"/>
    <w:rsid w:val="0037785D"/>
    <w:rsid w:val="00380115"/>
    <w:rsid w:val="003824F7"/>
    <w:rsid w:val="00393DAD"/>
    <w:rsid w:val="00394197"/>
    <w:rsid w:val="00394491"/>
    <w:rsid w:val="0039505B"/>
    <w:rsid w:val="00397EFC"/>
    <w:rsid w:val="003A3C67"/>
    <w:rsid w:val="003A56C7"/>
    <w:rsid w:val="003A6274"/>
    <w:rsid w:val="003A71F8"/>
    <w:rsid w:val="003B5D4F"/>
    <w:rsid w:val="003C007D"/>
    <w:rsid w:val="003C67E4"/>
    <w:rsid w:val="003D09ED"/>
    <w:rsid w:val="003D2EF7"/>
    <w:rsid w:val="003D7BD0"/>
    <w:rsid w:val="003E0D9E"/>
    <w:rsid w:val="003E134E"/>
    <w:rsid w:val="003E242E"/>
    <w:rsid w:val="003E3555"/>
    <w:rsid w:val="003F17B0"/>
    <w:rsid w:val="003F2416"/>
    <w:rsid w:val="003F3603"/>
    <w:rsid w:val="003F6143"/>
    <w:rsid w:val="004019B1"/>
    <w:rsid w:val="00404BE7"/>
    <w:rsid w:val="00404D40"/>
    <w:rsid w:val="00407E4A"/>
    <w:rsid w:val="00417101"/>
    <w:rsid w:val="00422070"/>
    <w:rsid w:val="00426734"/>
    <w:rsid w:val="00427EAD"/>
    <w:rsid w:val="00431272"/>
    <w:rsid w:val="00431555"/>
    <w:rsid w:val="0043169D"/>
    <w:rsid w:val="004333EE"/>
    <w:rsid w:val="00435130"/>
    <w:rsid w:val="00435313"/>
    <w:rsid w:val="00444FA4"/>
    <w:rsid w:val="0044500A"/>
    <w:rsid w:val="00445A4F"/>
    <w:rsid w:val="0045359C"/>
    <w:rsid w:val="00454BA5"/>
    <w:rsid w:val="00456897"/>
    <w:rsid w:val="00460094"/>
    <w:rsid w:val="004601B9"/>
    <w:rsid w:val="00465FC6"/>
    <w:rsid w:val="0047340F"/>
    <w:rsid w:val="00474E52"/>
    <w:rsid w:val="004807D8"/>
    <w:rsid w:val="00480933"/>
    <w:rsid w:val="00480AAA"/>
    <w:rsid w:val="004824C4"/>
    <w:rsid w:val="00482C2F"/>
    <w:rsid w:val="004918AD"/>
    <w:rsid w:val="004972E4"/>
    <w:rsid w:val="004B28BF"/>
    <w:rsid w:val="004B3FD1"/>
    <w:rsid w:val="004B474E"/>
    <w:rsid w:val="004B7BFB"/>
    <w:rsid w:val="004C069C"/>
    <w:rsid w:val="004C5642"/>
    <w:rsid w:val="004C56AC"/>
    <w:rsid w:val="004C7125"/>
    <w:rsid w:val="004D4D58"/>
    <w:rsid w:val="004D51FE"/>
    <w:rsid w:val="004D7234"/>
    <w:rsid w:val="004D7374"/>
    <w:rsid w:val="004E77F4"/>
    <w:rsid w:val="004F3694"/>
    <w:rsid w:val="004F5B25"/>
    <w:rsid w:val="004F72DA"/>
    <w:rsid w:val="004F7CDE"/>
    <w:rsid w:val="00501EF8"/>
    <w:rsid w:val="00503884"/>
    <w:rsid w:val="00514E41"/>
    <w:rsid w:val="00515F33"/>
    <w:rsid w:val="00516826"/>
    <w:rsid w:val="0052400F"/>
    <w:rsid w:val="005247F7"/>
    <w:rsid w:val="00526701"/>
    <w:rsid w:val="00531B97"/>
    <w:rsid w:val="00532CA8"/>
    <w:rsid w:val="00541BE2"/>
    <w:rsid w:val="00543756"/>
    <w:rsid w:val="005439BD"/>
    <w:rsid w:val="0054641E"/>
    <w:rsid w:val="00554AA1"/>
    <w:rsid w:val="005556E3"/>
    <w:rsid w:val="00557C0A"/>
    <w:rsid w:val="00561D0B"/>
    <w:rsid w:val="005642A8"/>
    <w:rsid w:val="00565AC9"/>
    <w:rsid w:val="0056694C"/>
    <w:rsid w:val="00572453"/>
    <w:rsid w:val="0057282F"/>
    <w:rsid w:val="00574574"/>
    <w:rsid w:val="00574A67"/>
    <w:rsid w:val="0057712A"/>
    <w:rsid w:val="00594FB2"/>
    <w:rsid w:val="005952DA"/>
    <w:rsid w:val="005A1BA9"/>
    <w:rsid w:val="005A515E"/>
    <w:rsid w:val="005A66B0"/>
    <w:rsid w:val="005A73EC"/>
    <w:rsid w:val="005B2935"/>
    <w:rsid w:val="005B7083"/>
    <w:rsid w:val="005B7369"/>
    <w:rsid w:val="005C4B03"/>
    <w:rsid w:val="005D3957"/>
    <w:rsid w:val="005E72F9"/>
    <w:rsid w:val="005F0864"/>
    <w:rsid w:val="005F33F4"/>
    <w:rsid w:val="005F5556"/>
    <w:rsid w:val="005F5D24"/>
    <w:rsid w:val="00603F91"/>
    <w:rsid w:val="00612B64"/>
    <w:rsid w:val="00613271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35F9C"/>
    <w:rsid w:val="00636F28"/>
    <w:rsid w:val="006531C8"/>
    <w:rsid w:val="00654A6D"/>
    <w:rsid w:val="00655734"/>
    <w:rsid w:val="006615CF"/>
    <w:rsid w:val="0066292D"/>
    <w:rsid w:val="006629A8"/>
    <w:rsid w:val="0066430C"/>
    <w:rsid w:val="006722F9"/>
    <w:rsid w:val="00672E3A"/>
    <w:rsid w:val="00681141"/>
    <w:rsid w:val="00682F5E"/>
    <w:rsid w:val="006912FB"/>
    <w:rsid w:val="006915C7"/>
    <w:rsid w:val="00693428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B84"/>
    <w:rsid w:val="00772197"/>
    <w:rsid w:val="0077481C"/>
    <w:rsid w:val="0077694E"/>
    <w:rsid w:val="00777E75"/>
    <w:rsid w:val="007827FF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C038E"/>
    <w:rsid w:val="007C5828"/>
    <w:rsid w:val="007D09DC"/>
    <w:rsid w:val="007D1762"/>
    <w:rsid w:val="007E7644"/>
    <w:rsid w:val="007F49F2"/>
    <w:rsid w:val="00801422"/>
    <w:rsid w:val="00802119"/>
    <w:rsid w:val="00805A4C"/>
    <w:rsid w:val="00812CF1"/>
    <w:rsid w:val="00821CFE"/>
    <w:rsid w:val="00822F9D"/>
    <w:rsid w:val="0082712D"/>
    <w:rsid w:val="008273E7"/>
    <w:rsid w:val="00827A88"/>
    <w:rsid w:val="00836DFF"/>
    <w:rsid w:val="00840BB4"/>
    <w:rsid w:val="008419A3"/>
    <w:rsid w:val="00842ED9"/>
    <w:rsid w:val="008459BB"/>
    <w:rsid w:val="00846CDD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6069"/>
    <w:rsid w:val="00882227"/>
    <w:rsid w:val="00886731"/>
    <w:rsid w:val="00887852"/>
    <w:rsid w:val="00892F86"/>
    <w:rsid w:val="008932EE"/>
    <w:rsid w:val="008943B9"/>
    <w:rsid w:val="00897CB6"/>
    <w:rsid w:val="008A2D2A"/>
    <w:rsid w:val="008A55CF"/>
    <w:rsid w:val="008B2DF3"/>
    <w:rsid w:val="008B4842"/>
    <w:rsid w:val="008B5149"/>
    <w:rsid w:val="008B5DD6"/>
    <w:rsid w:val="008C2ACB"/>
    <w:rsid w:val="008C2E31"/>
    <w:rsid w:val="008C3371"/>
    <w:rsid w:val="008D0C6F"/>
    <w:rsid w:val="008D0FFE"/>
    <w:rsid w:val="008D6252"/>
    <w:rsid w:val="008D6449"/>
    <w:rsid w:val="008E18A5"/>
    <w:rsid w:val="008E2E58"/>
    <w:rsid w:val="008E4601"/>
    <w:rsid w:val="008E7107"/>
    <w:rsid w:val="008F5979"/>
    <w:rsid w:val="00902C63"/>
    <w:rsid w:val="00903614"/>
    <w:rsid w:val="00903CF1"/>
    <w:rsid w:val="009054FD"/>
    <w:rsid w:val="00905A7D"/>
    <w:rsid w:val="00905E8E"/>
    <w:rsid w:val="00914E58"/>
    <w:rsid w:val="00923D71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7F10"/>
    <w:rsid w:val="00962B7D"/>
    <w:rsid w:val="0096338B"/>
    <w:rsid w:val="00963E87"/>
    <w:rsid w:val="00967D56"/>
    <w:rsid w:val="00972A95"/>
    <w:rsid w:val="00987B33"/>
    <w:rsid w:val="009917B5"/>
    <w:rsid w:val="00993028"/>
    <w:rsid w:val="009972B2"/>
    <w:rsid w:val="009A1712"/>
    <w:rsid w:val="009A231B"/>
    <w:rsid w:val="009A34F9"/>
    <w:rsid w:val="009A448D"/>
    <w:rsid w:val="009C0855"/>
    <w:rsid w:val="009C0B4A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6690"/>
    <w:rsid w:val="009F144A"/>
    <w:rsid w:val="009F2B48"/>
    <w:rsid w:val="009F4D45"/>
    <w:rsid w:val="009F6EC2"/>
    <w:rsid w:val="00A00CCF"/>
    <w:rsid w:val="00A027EC"/>
    <w:rsid w:val="00A07D7C"/>
    <w:rsid w:val="00A116D3"/>
    <w:rsid w:val="00A1405D"/>
    <w:rsid w:val="00A14960"/>
    <w:rsid w:val="00A27FE5"/>
    <w:rsid w:val="00A33D50"/>
    <w:rsid w:val="00A5349F"/>
    <w:rsid w:val="00A62768"/>
    <w:rsid w:val="00A6752A"/>
    <w:rsid w:val="00A72DBB"/>
    <w:rsid w:val="00A873BD"/>
    <w:rsid w:val="00AB15EC"/>
    <w:rsid w:val="00AB18DA"/>
    <w:rsid w:val="00AB3C89"/>
    <w:rsid w:val="00AB46A4"/>
    <w:rsid w:val="00AC16A7"/>
    <w:rsid w:val="00AC194A"/>
    <w:rsid w:val="00AC2391"/>
    <w:rsid w:val="00AC314D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B0009B"/>
    <w:rsid w:val="00B17020"/>
    <w:rsid w:val="00B171ED"/>
    <w:rsid w:val="00B17E67"/>
    <w:rsid w:val="00B17FD4"/>
    <w:rsid w:val="00B2041C"/>
    <w:rsid w:val="00B2079F"/>
    <w:rsid w:val="00B21207"/>
    <w:rsid w:val="00B2259C"/>
    <w:rsid w:val="00B230DD"/>
    <w:rsid w:val="00B305E5"/>
    <w:rsid w:val="00B35650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1A2D"/>
    <w:rsid w:val="00B879D7"/>
    <w:rsid w:val="00B9617C"/>
    <w:rsid w:val="00B974DF"/>
    <w:rsid w:val="00BA1BA7"/>
    <w:rsid w:val="00BA2DB4"/>
    <w:rsid w:val="00BA382E"/>
    <w:rsid w:val="00BA4E31"/>
    <w:rsid w:val="00BA67BF"/>
    <w:rsid w:val="00BB1DC0"/>
    <w:rsid w:val="00BB611F"/>
    <w:rsid w:val="00BB6639"/>
    <w:rsid w:val="00BB7B81"/>
    <w:rsid w:val="00BC199F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12D21"/>
    <w:rsid w:val="00C1488C"/>
    <w:rsid w:val="00C14A42"/>
    <w:rsid w:val="00C16253"/>
    <w:rsid w:val="00C20382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660FE"/>
    <w:rsid w:val="00C66C9E"/>
    <w:rsid w:val="00C73EA8"/>
    <w:rsid w:val="00C7412C"/>
    <w:rsid w:val="00C75E2E"/>
    <w:rsid w:val="00C8253B"/>
    <w:rsid w:val="00C9430B"/>
    <w:rsid w:val="00C962F1"/>
    <w:rsid w:val="00CA24B9"/>
    <w:rsid w:val="00CA7141"/>
    <w:rsid w:val="00CB1013"/>
    <w:rsid w:val="00CC495A"/>
    <w:rsid w:val="00CC7C2A"/>
    <w:rsid w:val="00CD6D28"/>
    <w:rsid w:val="00CE095B"/>
    <w:rsid w:val="00CE35F8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DB5"/>
    <w:rsid w:val="00D155CC"/>
    <w:rsid w:val="00D17794"/>
    <w:rsid w:val="00D20948"/>
    <w:rsid w:val="00D213D8"/>
    <w:rsid w:val="00D26095"/>
    <w:rsid w:val="00D43162"/>
    <w:rsid w:val="00D4701F"/>
    <w:rsid w:val="00D53054"/>
    <w:rsid w:val="00D62196"/>
    <w:rsid w:val="00D64FB3"/>
    <w:rsid w:val="00D66462"/>
    <w:rsid w:val="00D71C8D"/>
    <w:rsid w:val="00D73130"/>
    <w:rsid w:val="00D73A48"/>
    <w:rsid w:val="00D768D7"/>
    <w:rsid w:val="00D8061E"/>
    <w:rsid w:val="00D81082"/>
    <w:rsid w:val="00D9002E"/>
    <w:rsid w:val="00D94278"/>
    <w:rsid w:val="00DA45E6"/>
    <w:rsid w:val="00DA51CC"/>
    <w:rsid w:val="00DA5DF2"/>
    <w:rsid w:val="00DA6C89"/>
    <w:rsid w:val="00DA76E1"/>
    <w:rsid w:val="00DB027E"/>
    <w:rsid w:val="00DB032D"/>
    <w:rsid w:val="00DB7192"/>
    <w:rsid w:val="00DB772A"/>
    <w:rsid w:val="00DC0388"/>
    <w:rsid w:val="00DC5E3C"/>
    <w:rsid w:val="00DC5F05"/>
    <w:rsid w:val="00DC7777"/>
    <w:rsid w:val="00DD218C"/>
    <w:rsid w:val="00DE031A"/>
    <w:rsid w:val="00DE12FA"/>
    <w:rsid w:val="00DE528A"/>
    <w:rsid w:val="00DF0E52"/>
    <w:rsid w:val="00E020E1"/>
    <w:rsid w:val="00E024DC"/>
    <w:rsid w:val="00E05238"/>
    <w:rsid w:val="00E05262"/>
    <w:rsid w:val="00E14E1B"/>
    <w:rsid w:val="00E2251A"/>
    <w:rsid w:val="00E2311C"/>
    <w:rsid w:val="00E25713"/>
    <w:rsid w:val="00E26486"/>
    <w:rsid w:val="00E339BF"/>
    <w:rsid w:val="00E35131"/>
    <w:rsid w:val="00E3601A"/>
    <w:rsid w:val="00E463EB"/>
    <w:rsid w:val="00E46806"/>
    <w:rsid w:val="00E468EF"/>
    <w:rsid w:val="00E516F7"/>
    <w:rsid w:val="00E53083"/>
    <w:rsid w:val="00E544CB"/>
    <w:rsid w:val="00E61A30"/>
    <w:rsid w:val="00E624C3"/>
    <w:rsid w:val="00E63E4D"/>
    <w:rsid w:val="00E6539D"/>
    <w:rsid w:val="00E66568"/>
    <w:rsid w:val="00E7750A"/>
    <w:rsid w:val="00E82BCF"/>
    <w:rsid w:val="00E905A4"/>
    <w:rsid w:val="00E90AD3"/>
    <w:rsid w:val="00E9598A"/>
    <w:rsid w:val="00E97EFD"/>
    <w:rsid w:val="00EA1124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23C"/>
    <w:rsid w:val="00ED2447"/>
    <w:rsid w:val="00EE7CB5"/>
    <w:rsid w:val="00EF0E8D"/>
    <w:rsid w:val="00EF214F"/>
    <w:rsid w:val="00F0040E"/>
    <w:rsid w:val="00F00562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4803"/>
    <w:rsid w:val="00F34CFA"/>
    <w:rsid w:val="00F35E25"/>
    <w:rsid w:val="00F430E3"/>
    <w:rsid w:val="00F449DF"/>
    <w:rsid w:val="00F45922"/>
    <w:rsid w:val="00F45DDE"/>
    <w:rsid w:val="00F54F00"/>
    <w:rsid w:val="00F55E37"/>
    <w:rsid w:val="00F566FB"/>
    <w:rsid w:val="00F60096"/>
    <w:rsid w:val="00F61325"/>
    <w:rsid w:val="00F638FE"/>
    <w:rsid w:val="00F64E07"/>
    <w:rsid w:val="00F668A3"/>
    <w:rsid w:val="00F67DC4"/>
    <w:rsid w:val="00F765C7"/>
    <w:rsid w:val="00F824AE"/>
    <w:rsid w:val="00F93260"/>
    <w:rsid w:val="00F96FEF"/>
    <w:rsid w:val="00FA1FFD"/>
    <w:rsid w:val="00FA48F4"/>
    <w:rsid w:val="00FA4CF5"/>
    <w:rsid w:val="00FA4F51"/>
    <w:rsid w:val="00FA60B9"/>
    <w:rsid w:val="00FB51FA"/>
    <w:rsid w:val="00FB7756"/>
    <w:rsid w:val="00FC2F59"/>
    <w:rsid w:val="00FC3FBE"/>
    <w:rsid w:val="00FC525C"/>
    <w:rsid w:val="00FC5F00"/>
    <w:rsid w:val="00FC701D"/>
    <w:rsid w:val="00FE367D"/>
    <w:rsid w:val="00FE451A"/>
    <w:rsid w:val="00FE71BF"/>
    <w:rsid w:val="00FE71F9"/>
    <w:rsid w:val="00FF15C1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18B9-9576-4753-B920-DC6AC1C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2021-04-20T06:04:00Z</dcterms:modified>
</cp:coreProperties>
</file>